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E7072" w14:textId="77777777" w:rsidR="00731D1B" w:rsidRDefault="00731D1B">
      <w:pPr>
        <w:spacing w:before="8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648FC109"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3C6E"/>
            <w:tcMar>
              <w:top w:w="400" w:type="dxa"/>
              <w:left w:w="400" w:type="dxa"/>
              <w:bottom w:w="400" w:type="dxa"/>
              <w:right w:w="400" w:type="dxa"/>
            </w:tcMar>
          </w:tcPr>
          <w:p w14:paraId="3A1C8C72" w14:textId="77777777" w:rsidR="00731D1B" w:rsidRDefault="00000000">
            <w:pPr>
              <w:spacing w:after="160"/>
              <w:jc w:val="center"/>
            </w:pPr>
            <w:r>
              <w:rPr>
                <w:b/>
                <w:bCs/>
                <w:color w:val="FFFFFF"/>
                <w:sz w:val="44"/>
                <w:szCs w:val="44"/>
              </w:rPr>
              <w:t>JAGRAN COLLEGE OF ARTS,</w:t>
            </w:r>
          </w:p>
          <w:p w14:paraId="7444D2BE" w14:textId="77777777" w:rsidR="00731D1B" w:rsidRDefault="00000000">
            <w:pPr>
              <w:spacing w:after="300"/>
              <w:jc w:val="center"/>
            </w:pPr>
            <w:r>
              <w:rPr>
                <w:b/>
                <w:bCs/>
                <w:color w:val="FFFFFF"/>
                <w:sz w:val="44"/>
                <w:szCs w:val="44"/>
              </w:rPr>
              <w:t>SCIENCE AND COMMERCE</w:t>
            </w:r>
          </w:p>
          <w:p w14:paraId="0F55C15B" w14:textId="77777777" w:rsidR="00731D1B" w:rsidRDefault="00000000">
            <w:pPr>
              <w:spacing w:after="200"/>
              <w:jc w:val="center"/>
            </w:pPr>
            <w:r>
              <w:rPr>
                <w:color w:val="F4A300"/>
                <w:sz w:val="24"/>
                <w:szCs w:val="24"/>
              </w:rPr>
              <w:t>─────────────────────────────</w:t>
            </w:r>
          </w:p>
          <w:p w14:paraId="67E77CF9" w14:textId="77777777" w:rsidR="00731D1B" w:rsidRDefault="00000000">
            <w:pPr>
              <w:spacing w:after="160"/>
              <w:jc w:val="center"/>
            </w:pPr>
            <w:r>
              <w:rPr>
                <w:b/>
                <w:bCs/>
                <w:color w:val="F4A300"/>
                <w:sz w:val="36"/>
                <w:szCs w:val="36"/>
              </w:rPr>
              <w:t>INSTITUTIONAL DEVELOPMENT PLAN</w:t>
            </w:r>
          </w:p>
          <w:p w14:paraId="36B25026" w14:textId="77777777" w:rsidR="00731D1B" w:rsidRDefault="00000000">
            <w:pPr>
              <w:spacing w:after="200"/>
              <w:jc w:val="center"/>
            </w:pPr>
            <w:r>
              <w:rPr>
                <w:b/>
                <w:bCs/>
                <w:color w:val="F4A300"/>
                <w:sz w:val="36"/>
                <w:szCs w:val="36"/>
              </w:rPr>
              <w:t>(IDP)</w:t>
            </w:r>
          </w:p>
          <w:p w14:paraId="71B986A9" w14:textId="77777777" w:rsidR="00731D1B" w:rsidRDefault="00000000">
            <w:pPr>
              <w:spacing w:before="100" w:after="80"/>
              <w:jc w:val="center"/>
            </w:pPr>
            <w:r>
              <w:rPr>
                <w:color w:val="D6E4F0"/>
                <w:sz w:val="24"/>
                <w:szCs w:val="24"/>
              </w:rPr>
              <w:t>Aligned with NAAC Guidelines</w:t>
            </w:r>
          </w:p>
          <w:p w14:paraId="756FFED2" w14:textId="77777777" w:rsidR="00731D1B" w:rsidRDefault="00000000">
            <w:pPr>
              <w:spacing w:after="200"/>
              <w:jc w:val="center"/>
            </w:pPr>
            <w:r>
              <w:rPr>
                <w:color w:val="D6E4F0"/>
                <w:sz w:val="24"/>
                <w:szCs w:val="24"/>
              </w:rPr>
              <w:t>for Quality Enhancement &amp; Institutional Excellence</w:t>
            </w:r>
          </w:p>
        </w:tc>
      </w:tr>
    </w:tbl>
    <w:p w14:paraId="79ED751F" w14:textId="77777777" w:rsidR="00731D1B" w:rsidRDefault="00731D1B">
      <w:pPr>
        <w:spacing w:before="4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52BC7050"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E0E6EE"/>
            <w:tcMar>
              <w:top w:w="180" w:type="dxa"/>
              <w:left w:w="400" w:type="dxa"/>
              <w:bottom w:w="180" w:type="dxa"/>
              <w:right w:w="400" w:type="dxa"/>
            </w:tcMar>
          </w:tcPr>
          <w:p w14:paraId="25B313F5" w14:textId="77777777" w:rsidR="00731D1B" w:rsidRDefault="00000000">
            <w:pPr>
              <w:jc w:val="center"/>
            </w:pPr>
            <w:r>
              <w:rPr>
                <w:color w:val="1A3C6E"/>
                <w:sz w:val="22"/>
              </w:rPr>
              <w:t>Prepared by the Internal Quality Assurance Cell (IQAC)</w:t>
            </w:r>
          </w:p>
          <w:p w14:paraId="621174D8" w14:textId="77777777" w:rsidR="00731D1B" w:rsidRDefault="00731D1B">
            <w:pPr>
              <w:spacing w:before="60"/>
              <w:jc w:val="left"/>
            </w:pPr>
          </w:p>
        </w:tc>
      </w:tr>
    </w:tbl>
    <w:p w14:paraId="222D91D8" w14:textId="77777777" w:rsidR="00731D1B"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55AD6748"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3C6E"/>
            <w:tcMar>
              <w:top w:w="140" w:type="dxa"/>
              <w:left w:w="240" w:type="dxa"/>
              <w:bottom w:w="140" w:type="dxa"/>
              <w:right w:w="240" w:type="dxa"/>
            </w:tcMar>
          </w:tcPr>
          <w:p w14:paraId="4940CAB5" w14:textId="77777777" w:rsidR="00731D1B" w:rsidRDefault="00000000">
            <w:pPr>
              <w:jc w:val="left"/>
            </w:pPr>
            <w:r>
              <w:rPr>
                <w:b/>
                <w:bCs/>
                <w:color w:val="FFFFFF"/>
                <w:sz w:val="26"/>
                <w:szCs w:val="26"/>
              </w:rPr>
              <w:t xml:space="preserve"> Introduction</w:t>
            </w:r>
          </w:p>
        </w:tc>
      </w:tr>
    </w:tbl>
    <w:p w14:paraId="786013B6" w14:textId="77777777" w:rsidR="00731D1B" w:rsidRDefault="00731D1B">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12E7A547" w14:textId="77777777">
        <w:tblPrEx>
          <w:tblCellMar>
            <w:top w:w="0" w:type="dxa"/>
            <w:bottom w:w="0" w:type="dxa"/>
          </w:tblCellMar>
        </w:tblPrEx>
        <w:tc>
          <w:tcPr>
            <w:tcW w:w="0" w:type="auto"/>
            <w:tcBorders>
              <w:top w:val="none" w:sz="0" w:space="0" w:color="FFFFFF"/>
              <w:left w:val="single" w:sz="12" w:space="0" w:color="F4A300"/>
              <w:bottom w:val="none" w:sz="0" w:space="0" w:color="FFFFFF"/>
              <w:right w:val="none" w:sz="0" w:space="0" w:color="FFFFFF"/>
            </w:tcBorders>
            <w:shd w:val="clear" w:color="auto" w:fill="D6E4F0"/>
            <w:tcMar>
              <w:top w:w="100" w:type="dxa"/>
              <w:left w:w="200" w:type="dxa"/>
              <w:bottom w:w="100" w:type="dxa"/>
              <w:right w:w="200" w:type="dxa"/>
            </w:tcMar>
          </w:tcPr>
          <w:p w14:paraId="18E1362A" w14:textId="77777777" w:rsidR="00731D1B" w:rsidRDefault="00000000">
            <w:proofErr w:type="spellStart"/>
            <w:r>
              <w:rPr>
                <w:color w:val="1A3C6E"/>
                <w:szCs w:val="21"/>
              </w:rPr>
              <w:t>Jagran</w:t>
            </w:r>
            <w:proofErr w:type="spellEnd"/>
            <w:r>
              <w:rPr>
                <w:color w:val="1A3C6E"/>
                <w:szCs w:val="21"/>
              </w:rPr>
              <w:t xml:space="preserve"> College of Arts, Science and Commerce has developed an Institutional Development Plan (IDP) aligned with its vision and mission to ensure continuous improvement in academic quality, infrastructure, research, and student development. The IDP acts as a strategic roadmap for institutional growth and quality enhancement in accordance with NAAC guidelines.</w:t>
            </w:r>
          </w:p>
        </w:tc>
      </w:tr>
    </w:tbl>
    <w:p w14:paraId="5BBC5B39" w14:textId="77777777" w:rsidR="00731D1B" w:rsidRDefault="00731D1B">
      <w:pPr>
        <w:spacing w:before="160"/>
      </w:pPr>
    </w:p>
    <w:p w14:paraId="64049004" w14:textId="77777777" w:rsidR="00731D1B" w:rsidRDefault="00000000">
      <w:pPr>
        <w:spacing w:before="80" w:after="80"/>
      </w:pPr>
      <w:r>
        <w:rPr>
          <w:color w:val="333333"/>
          <w:sz w:val="22"/>
        </w:rPr>
        <w:t>The IDP serves as the foundational document guiding all academic, administrative, and infrastructural decisions of the institution. It is reviewed and updated periodically to reflect the evolving needs of students, faculty, and the wider community.</w:t>
      </w:r>
    </w:p>
    <w:p w14:paraId="1E15E264" w14:textId="77777777" w:rsidR="00731D1B" w:rsidRDefault="00731D1B">
      <w:pPr>
        <w:spacing w:before="80"/>
      </w:pPr>
    </w:p>
    <w:p w14:paraId="489AD03F" w14:textId="77777777" w:rsidR="00731D1B" w:rsidRDefault="00000000">
      <w:pPr>
        <w:spacing w:before="80" w:after="80"/>
      </w:pPr>
      <w:r>
        <w:rPr>
          <w:color w:val="333333"/>
          <w:sz w:val="22"/>
        </w:rPr>
        <w:t>The Vision, Mission, Quality Policy, and IDP are displayed at strategic locations across the campus and on the college website to ensure maximum awareness among all stakeholders.</w:t>
      </w:r>
    </w:p>
    <w:p w14:paraId="7633EA62" w14:textId="77777777" w:rsidR="00731D1B" w:rsidRDefault="00731D1B">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47490E23"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3C6E"/>
            <w:tcMar>
              <w:top w:w="140" w:type="dxa"/>
              <w:left w:w="240" w:type="dxa"/>
              <w:bottom w:w="140" w:type="dxa"/>
              <w:right w:w="240" w:type="dxa"/>
            </w:tcMar>
          </w:tcPr>
          <w:p w14:paraId="40B3A837" w14:textId="77777777" w:rsidR="00731D1B" w:rsidRDefault="00000000">
            <w:pPr>
              <w:jc w:val="left"/>
            </w:pPr>
            <w:r>
              <w:rPr>
                <w:b/>
                <w:bCs/>
                <w:color w:val="FFFFFF"/>
                <w:sz w:val="26"/>
                <w:szCs w:val="26"/>
              </w:rPr>
              <w:t>Vision and Mission Alignment</w:t>
            </w:r>
          </w:p>
        </w:tc>
      </w:tr>
    </w:tbl>
    <w:p w14:paraId="58B02B7B" w14:textId="77777777" w:rsidR="00731D1B" w:rsidRDefault="00731D1B">
      <w:pPr>
        <w:spacing w:before="120"/>
      </w:pPr>
    </w:p>
    <w:p w14:paraId="7980F48F" w14:textId="77777777" w:rsidR="00731D1B" w:rsidRDefault="00000000">
      <w:pPr>
        <w:spacing w:before="80" w:after="80"/>
      </w:pPr>
      <w:r>
        <w:rPr>
          <w:color w:val="333333"/>
          <w:sz w:val="22"/>
        </w:rPr>
        <w:t>The Institutional Development Plan is prepared in alignment with the vision and mission of the institution. Every strategic initiative within this plan is guided by the following foundational pillars:</w:t>
      </w:r>
    </w:p>
    <w:p w14:paraId="6332FAD9" w14:textId="77777777" w:rsidR="00731D1B" w:rsidRDefault="00731D1B">
      <w:pPr>
        <w:spacing w:before="100"/>
      </w:pPr>
    </w:p>
    <w:p w14:paraId="35CE3C10" w14:textId="77777777" w:rsidR="00731D1B" w:rsidRDefault="00000000">
      <w:pPr>
        <w:pStyle w:val="ListParagraph"/>
        <w:numPr>
          <w:ilvl w:val="0"/>
          <w:numId w:val="1"/>
        </w:numPr>
        <w:spacing w:before="60" w:after="60"/>
      </w:pPr>
      <w:r>
        <w:rPr>
          <w:color w:val="333333"/>
        </w:rPr>
        <w:t>Academic excellence and quality education</w:t>
      </w:r>
    </w:p>
    <w:p w14:paraId="43E2F480" w14:textId="77777777" w:rsidR="00731D1B" w:rsidRDefault="00000000">
      <w:pPr>
        <w:pStyle w:val="ListParagraph"/>
        <w:numPr>
          <w:ilvl w:val="0"/>
          <w:numId w:val="1"/>
        </w:numPr>
        <w:spacing w:before="60" w:after="60"/>
      </w:pPr>
      <w:r>
        <w:rPr>
          <w:color w:val="333333"/>
        </w:rPr>
        <w:t>Promotion of research and innovation</w:t>
      </w:r>
    </w:p>
    <w:p w14:paraId="74CA9F4C" w14:textId="77777777" w:rsidR="00731D1B" w:rsidRDefault="00000000">
      <w:pPr>
        <w:pStyle w:val="ListParagraph"/>
        <w:numPr>
          <w:ilvl w:val="0"/>
          <w:numId w:val="1"/>
        </w:numPr>
        <w:spacing w:before="60" w:after="60"/>
      </w:pPr>
      <w:r>
        <w:rPr>
          <w:color w:val="333333"/>
        </w:rPr>
        <w:t>Skill development and employability</w:t>
      </w:r>
    </w:p>
    <w:p w14:paraId="1C4E2DC8" w14:textId="77777777" w:rsidR="00731D1B" w:rsidRDefault="00000000">
      <w:pPr>
        <w:pStyle w:val="ListParagraph"/>
        <w:numPr>
          <w:ilvl w:val="0"/>
          <w:numId w:val="1"/>
        </w:numPr>
        <w:spacing w:before="60" w:after="60"/>
      </w:pPr>
      <w:r>
        <w:rPr>
          <w:color w:val="333333"/>
        </w:rPr>
        <w:t>Holistic development of students</w:t>
      </w:r>
    </w:p>
    <w:p w14:paraId="7E3F1F34" w14:textId="77777777" w:rsidR="00731D1B" w:rsidRDefault="00000000">
      <w:pPr>
        <w:pStyle w:val="ListParagraph"/>
        <w:numPr>
          <w:ilvl w:val="0"/>
          <w:numId w:val="1"/>
        </w:numPr>
        <w:spacing w:before="60" w:after="60"/>
      </w:pPr>
      <w:r>
        <w:rPr>
          <w:color w:val="333333"/>
        </w:rPr>
        <w:t>Social responsibility and community engagement</w:t>
      </w:r>
    </w:p>
    <w:p w14:paraId="569D0E04" w14:textId="77777777" w:rsidR="00731D1B" w:rsidRDefault="00731D1B">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582DEBD3"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3C6E"/>
            <w:tcMar>
              <w:top w:w="140" w:type="dxa"/>
              <w:left w:w="240" w:type="dxa"/>
              <w:bottom w:w="140" w:type="dxa"/>
              <w:right w:w="240" w:type="dxa"/>
            </w:tcMar>
          </w:tcPr>
          <w:p w14:paraId="622FA085" w14:textId="77777777" w:rsidR="00731D1B" w:rsidRDefault="00000000">
            <w:pPr>
              <w:jc w:val="left"/>
            </w:pPr>
            <w:r>
              <w:rPr>
                <w:b/>
                <w:bCs/>
                <w:color w:val="FFFFFF"/>
                <w:sz w:val="26"/>
                <w:szCs w:val="26"/>
              </w:rPr>
              <w:t>Stakeholder Involvement in IDP Formulation</w:t>
            </w:r>
          </w:p>
        </w:tc>
      </w:tr>
    </w:tbl>
    <w:p w14:paraId="74BCF1DD" w14:textId="77777777" w:rsidR="00731D1B" w:rsidRDefault="00731D1B">
      <w:pPr>
        <w:spacing w:before="120"/>
      </w:pPr>
    </w:p>
    <w:p w14:paraId="0F97A0ED" w14:textId="77777777" w:rsidR="00731D1B" w:rsidRDefault="00000000">
      <w:pPr>
        <w:spacing w:before="80" w:after="80"/>
      </w:pPr>
      <w:r>
        <w:rPr>
          <w:color w:val="333333"/>
          <w:sz w:val="22"/>
        </w:rPr>
        <w:t>The formulation of the IDP involves the active participation of various stakeholders to ensure transparency, inclusiveness, and institutional ownership. Feedback and suggestions are collected through meetings, surveys, and structured feedback mechanisms.</w:t>
      </w:r>
    </w:p>
    <w:p w14:paraId="47055E51" w14:textId="77777777" w:rsidR="00731D1B" w:rsidRDefault="00731D1B">
      <w:pPr>
        <w:spacing w:before="120"/>
      </w:pPr>
    </w:p>
    <w:tbl>
      <w:tblPr>
        <w:tblW w:w="9360"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00"/>
        <w:gridCol w:w="5860"/>
      </w:tblGrid>
      <w:tr w:rsidR="00731D1B" w14:paraId="20AFFBB9" w14:textId="77777777">
        <w:tblPrEx>
          <w:tblCellMar>
            <w:top w:w="0" w:type="dxa"/>
            <w:bottom w:w="0" w:type="dxa"/>
          </w:tblCellMar>
        </w:tblPrEx>
        <w:tc>
          <w:tcPr>
            <w:tcW w:w="3500" w:type="dxa"/>
            <w:tcBorders>
              <w:top w:val="single" w:sz="1" w:space="0" w:color="CCCCCC"/>
              <w:left w:val="single" w:sz="1" w:space="0" w:color="CCCCCC"/>
              <w:bottom w:val="single" w:sz="1" w:space="0" w:color="CCCCCC"/>
              <w:right w:val="single" w:sz="1" w:space="0" w:color="CCCCCC"/>
            </w:tcBorders>
            <w:shd w:val="clear" w:color="auto" w:fill="1A3C6E"/>
            <w:tcMar>
              <w:top w:w="80" w:type="dxa"/>
              <w:left w:w="120" w:type="dxa"/>
              <w:bottom w:w="80" w:type="dxa"/>
              <w:right w:w="120" w:type="dxa"/>
            </w:tcMar>
          </w:tcPr>
          <w:p w14:paraId="34002870" w14:textId="77777777" w:rsidR="00731D1B" w:rsidRDefault="00000000">
            <w:r>
              <w:rPr>
                <w:b/>
                <w:bCs/>
                <w:color w:val="FFFFFF"/>
                <w:szCs w:val="21"/>
              </w:rPr>
              <w:t>Stakeholder Group</w:t>
            </w:r>
          </w:p>
        </w:tc>
        <w:tc>
          <w:tcPr>
            <w:tcW w:w="5860" w:type="dxa"/>
            <w:tcBorders>
              <w:top w:val="single" w:sz="1" w:space="0" w:color="CCCCCC"/>
              <w:left w:val="single" w:sz="1" w:space="0" w:color="CCCCCC"/>
              <w:bottom w:val="single" w:sz="1" w:space="0" w:color="CCCCCC"/>
              <w:right w:val="single" w:sz="1" w:space="0" w:color="CCCCCC"/>
            </w:tcBorders>
            <w:shd w:val="clear" w:color="auto" w:fill="1A3C6E"/>
            <w:tcMar>
              <w:top w:w="80" w:type="dxa"/>
              <w:left w:w="120" w:type="dxa"/>
              <w:bottom w:w="80" w:type="dxa"/>
              <w:right w:w="120" w:type="dxa"/>
            </w:tcMar>
          </w:tcPr>
          <w:p w14:paraId="051C1075" w14:textId="77777777" w:rsidR="00731D1B" w:rsidRDefault="00000000">
            <w:r>
              <w:rPr>
                <w:b/>
                <w:bCs/>
                <w:color w:val="FFFFFF"/>
                <w:szCs w:val="21"/>
              </w:rPr>
              <w:t>Role in IDP Formulation</w:t>
            </w:r>
          </w:p>
        </w:tc>
      </w:tr>
      <w:tr w:rsidR="00731D1B" w14:paraId="5B2A9380" w14:textId="77777777">
        <w:tblPrEx>
          <w:tblCellMar>
            <w:top w:w="0" w:type="dxa"/>
            <w:bottom w:w="0" w:type="dxa"/>
          </w:tblCellMar>
        </w:tblPrEx>
        <w:tc>
          <w:tcPr>
            <w:tcW w:w="35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A58A9EC" w14:textId="77777777" w:rsidR="00731D1B" w:rsidRDefault="00000000">
            <w:r>
              <w:rPr>
                <w:color w:val="333333"/>
                <w:szCs w:val="21"/>
              </w:rPr>
              <w:t>Governing Body &amp; Management</w:t>
            </w:r>
          </w:p>
        </w:tc>
        <w:tc>
          <w:tcPr>
            <w:tcW w:w="58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67B81AC" w14:textId="77777777" w:rsidR="00731D1B" w:rsidRDefault="00000000">
            <w:r>
              <w:rPr>
                <w:color w:val="333333"/>
                <w:szCs w:val="21"/>
              </w:rPr>
              <w:t>Policy direction and strategic oversight</w:t>
            </w:r>
          </w:p>
        </w:tc>
      </w:tr>
      <w:tr w:rsidR="00731D1B" w14:paraId="4F90423D" w14:textId="77777777">
        <w:tblPrEx>
          <w:tblCellMar>
            <w:top w:w="0" w:type="dxa"/>
            <w:bottom w:w="0" w:type="dxa"/>
          </w:tblCellMar>
        </w:tblPrEx>
        <w:tc>
          <w:tcPr>
            <w:tcW w:w="35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B69848C" w14:textId="77777777" w:rsidR="00731D1B" w:rsidRDefault="00000000">
            <w:r>
              <w:rPr>
                <w:color w:val="333333"/>
                <w:szCs w:val="21"/>
              </w:rPr>
              <w:t>Principal &amp; IQAC</w:t>
            </w:r>
          </w:p>
        </w:tc>
        <w:tc>
          <w:tcPr>
            <w:tcW w:w="58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A0EA9AD" w14:textId="77777777" w:rsidR="00731D1B" w:rsidRDefault="00000000">
            <w:r>
              <w:rPr>
                <w:color w:val="333333"/>
                <w:szCs w:val="21"/>
              </w:rPr>
              <w:t>Coordination, review, and quality assurance</w:t>
            </w:r>
          </w:p>
        </w:tc>
      </w:tr>
      <w:tr w:rsidR="00731D1B" w14:paraId="28E9E312" w14:textId="77777777">
        <w:tblPrEx>
          <w:tblCellMar>
            <w:top w:w="0" w:type="dxa"/>
            <w:bottom w:w="0" w:type="dxa"/>
          </w:tblCellMar>
        </w:tblPrEx>
        <w:tc>
          <w:tcPr>
            <w:tcW w:w="35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C4A09AE" w14:textId="77777777" w:rsidR="00731D1B" w:rsidRDefault="00000000">
            <w:r>
              <w:rPr>
                <w:color w:val="333333"/>
                <w:szCs w:val="21"/>
              </w:rPr>
              <w:t>Course Coordinators &amp; Faculty</w:t>
            </w:r>
          </w:p>
        </w:tc>
        <w:tc>
          <w:tcPr>
            <w:tcW w:w="58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F624B26" w14:textId="77777777" w:rsidR="00731D1B" w:rsidRDefault="00000000">
            <w:r>
              <w:rPr>
                <w:color w:val="333333"/>
                <w:szCs w:val="21"/>
              </w:rPr>
              <w:t>Curriculum input and academic planning</w:t>
            </w:r>
          </w:p>
        </w:tc>
      </w:tr>
      <w:tr w:rsidR="00731D1B" w14:paraId="2C82A4D1" w14:textId="77777777">
        <w:tblPrEx>
          <w:tblCellMar>
            <w:top w:w="0" w:type="dxa"/>
            <w:bottom w:w="0" w:type="dxa"/>
          </w:tblCellMar>
        </w:tblPrEx>
        <w:tc>
          <w:tcPr>
            <w:tcW w:w="35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FB90387" w14:textId="77777777" w:rsidR="00731D1B" w:rsidRDefault="00000000">
            <w:r>
              <w:rPr>
                <w:color w:val="333333"/>
                <w:szCs w:val="21"/>
              </w:rPr>
              <w:t>Students &amp; Alumni</w:t>
            </w:r>
          </w:p>
        </w:tc>
        <w:tc>
          <w:tcPr>
            <w:tcW w:w="58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7C931A6" w14:textId="77777777" w:rsidR="00731D1B" w:rsidRDefault="00000000">
            <w:r>
              <w:rPr>
                <w:color w:val="333333"/>
                <w:szCs w:val="21"/>
              </w:rPr>
              <w:t>Feedback on learning outcomes and employability</w:t>
            </w:r>
          </w:p>
        </w:tc>
      </w:tr>
      <w:tr w:rsidR="00731D1B" w14:paraId="67D9D79E" w14:textId="77777777">
        <w:tblPrEx>
          <w:tblCellMar>
            <w:top w:w="0" w:type="dxa"/>
            <w:bottom w:w="0" w:type="dxa"/>
          </w:tblCellMar>
        </w:tblPrEx>
        <w:tc>
          <w:tcPr>
            <w:tcW w:w="35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AF9B4E7" w14:textId="77777777" w:rsidR="00731D1B" w:rsidRDefault="00000000">
            <w:r>
              <w:rPr>
                <w:color w:val="333333"/>
                <w:szCs w:val="21"/>
              </w:rPr>
              <w:t>Parents &amp; Industry Experts</w:t>
            </w:r>
          </w:p>
        </w:tc>
        <w:tc>
          <w:tcPr>
            <w:tcW w:w="58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89DC6A1" w14:textId="77777777" w:rsidR="00731D1B" w:rsidRDefault="00000000">
            <w:r>
              <w:rPr>
                <w:color w:val="333333"/>
                <w:szCs w:val="21"/>
              </w:rPr>
              <w:t>Insights on market needs and student welfare</w:t>
            </w:r>
          </w:p>
        </w:tc>
      </w:tr>
    </w:tbl>
    <w:p w14:paraId="2B31AD07" w14:textId="77777777" w:rsidR="00731D1B" w:rsidRDefault="00731D1B">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28B28807"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3C6E"/>
            <w:tcMar>
              <w:top w:w="140" w:type="dxa"/>
              <w:left w:w="240" w:type="dxa"/>
              <w:bottom w:w="140" w:type="dxa"/>
              <w:right w:w="240" w:type="dxa"/>
            </w:tcMar>
          </w:tcPr>
          <w:p w14:paraId="2BC7BD36" w14:textId="77777777" w:rsidR="00731D1B" w:rsidRDefault="00000000">
            <w:pPr>
              <w:jc w:val="left"/>
            </w:pPr>
            <w:r>
              <w:rPr>
                <w:b/>
                <w:bCs/>
                <w:color w:val="FFFFFF"/>
                <w:sz w:val="26"/>
                <w:szCs w:val="26"/>
              </w:rPr>
              <w:t xml:space="preserve"> Long-Term and Operational Goals</w:t>
            </w:r>
          </w:p>
        </w:tc>
      </w:tr>
    </w:tbl>
    <w:p w14:paraId="64192BFD" w14:textId="77777777" w:rsidR="00731D1B" w:rsidRDefault="00731D1B">
      <w:pPr>
        <w:spacing w:before="120"/>
      </w:pPr>
    </w:p>
    <w:p w14:paraId="34B972A3" w14:textId="77777777" w:rsidR="00731D1B" w:rsidRDefault="00000000">
      <w:pPr>
        <w:spacing w:before="80" w:after="80"/>
      </w:pPr>
      <w:r>
        <w:rPr>
          <w:color w:val="333333"/>
          <w:sz w:val="22"/>
        </w:rPr>
        <w:t>The IDP outlines long-term strategic goals and operational objectives across four key development areas, with clearly defined milestones and targets that are periodically reviewed.</w:t>
      </w:r>
    </w:p>
    <w:p w14:paraId="496F9601" w14:textId="77777777" w:rsidR="00731D1B" w:rsidRDefault="00731D1B">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27"/>
        <w:gridCol w:w="3777"/>
        <w:gridCol w:w="2956"/>
      </w:tblGrid>
      <w:tr w:rsidR="00731D1B" w14:paraId="24B0C8EC"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2E6EA6"/>
            <w:tcMar>
              <w:top w:w="80" w:type="dxa"/>
              <w:left w:w="120" w:type="dxa"/>
              <w:bottom w:w="80" w:type="dxa"/>
              <w:right w:w="120" w:type="dxa"/>
            </w:tcMar>
          </w:tcPr>
          <w:p w14:paraId="58DA8671" w14:textId="77777777" w:rsidR="00731D1B" w:rsidRDefault="00000000">
            <w:r>
              <w:rPr>
                <w:b/>
                <w:bCs/>
                <w:color w:val="FFFFFF"/>
                <w:szCs w:val="21"/>
              </w:rPr>
              <w:t>Goal Area</w:t>
            </w:r>
          </w:p>
        </w:tc>
        <w:tc>
          <w:tcPr>
            <w:tcW w:w="3380" w:type="dxa"/>
            <w:tcBorders>
              <w:top w:val="single" w:sz="1" w:space="0" w:color="CCCCCC"/>
              <w:left w:val="single" w:sz="1" w:space="0" w:color="CCCCCC"/>
              <w:bottom w:val="single" w:sz="1" w:space="0" w:color="CCCCCC"/>
              <w:right w:val="single" w:sz="1" w:space="0" w:color="CCCCCC"/>
            </w:tcBorders>
            <w:shd w:val="clear" w:color="auto" w:fill="2E6EA6"/>
            <w:tcMar>
              <w:top w:w="80" w:type="dxa"/>
              <w:left w:w="120" w:type="dxa"/>
              <w:bottom w:w="80" w:type="dxa"/>
              <w:right w:w="120" w:type="dxa"/>
            </w:tcMar>
          </w:tcPr>
          <w:p w14:paraId="52649456" w14:textId="77777777" w:rsidR="00731D1B" w:rsidRDefault="00000000">
            <w:r>
              <w:rPr>
                <w:b/>
                <w:bCs/>
                <w:color w:val="FFFFFF"/>
                <w:szCs w:val="21"/>
              </w:rPr>
              <w:t>Key Objectives</w:t>
            </w:r>
          </w:p>
        </w:tc>
        <w:tc>
          <w:tcPr>
            <w:tcW w:w="3180" w:type="dxa"/>
            <w:tcBorders>
              <w:top w:val="single" w:sz="1" w:space="0" w:color="CCCCCC"/>
              <w:left w:val="single" w:sz="1" w:space="0" w:color="CCCCCC"/>
              <w:bottom w:val="single" w:sz="1" w:space="0" w:color="CCCCCC"/>
              <w:right w:val="single" w:sz="1" w:space="0" w:color="CCCCCC"/>
            </w:tcBorders>
            <w:shd w:val="clear" w:color="auto" w:fill="2E6EA6"/>
            <w:tcMar>
              <w:top w:w="80" w:type="dxa"/>
              <w:left w:w="120" w:type="dxa"/>
              <w:bottom w:w="80" w:type="dxa"/>
              <w:right w:w="120" w:type="dxa"/>
            </w:tcMar>
          </w:tcPr>
          <w:p w14:paraId="779B87AC" w14:textId="77777777" w:rsidR="00731D1B" w:rsidRDefault="00000000">
            <w:r>
              <w:rPr>
                <w:b/>
                <w:bCs/>
                <w:color w:val="FFFFFF"/>
                <w:szCs w:val="21"/>
              </w:rPr>
              <w:t>Expected Outcomes</w:t>
            </w:r>
          </w:p>
        </w:tc>
      </w:tr>
      <w:tr w:rsidR="00731D1B" w14:paraId="3F8AE137"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D18CDBE" w14:textId="77777777" w:rsidR="00731D1B" w:rsidRDefault="00000000">
            <w:r>
              <w:rPr>
                <w:color w:val="333333"/>
                <w:sz w:val="20"/>
                <w:szCs w:val="20"/>
              </w:rPr>
              <w:t>Academic Excellence</w:t>
            </w:r>
          </w:p>
        </w:tc>
        <w:tc>
          <w:tcPr>
            <w:tcW w:w="33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B99BADB" w14:textId="77777777" w:rsidR="00731D1B" w:rsidRDefault="00000000">
            <w:r>
              <w:rPr>
                <w:color w:val="333333"/>
                <w:sz w:val="20"/>
                <w:szCs w:val="20"/>
              </w:rPr>
              <w:t>Outcome-based education; ICT-enabled teaching; New skill-based &amp; interdisciplinary courses</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3A22C50" w14:textId="77777777" w:rsidR="00731D1B" w:rsidRDefault="00000000">
            <w:r>
              <w:rPr>
                <w:color w:val="333333"/>
                <w:sz w:val="20"/>
                <w:szCs w:val="20"/>
              </w:rPr>
              <w:t>Improved learning outcomes; Higher student pass rates</w:t>
            </w:r>
          </w:p>
        </w:tc>
      </w:tr>
      <w:tr w:rsidR="00731D1B" w14:paraId="45E61DC4"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DEEC0E3" w14:textId="77777777" w:rsidR="00731D1B" w:rsidRDefault="00000000">
            <w:r>
              <w:rPr>
                <w:color w:val="333333"/>
                <w:sz w:val="20"/>
                <w:szCs w:val="20"/>
              </w:rPr>
              <w:t>Research &amp; Innovation</w:t>
            </w:r>
          </w:p>
        </w:tc>
        <w:tc>
          <w:tcPr>
            <w:tcW w:w="33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B6AB05C" w14:textId="77777777" w:rsidR="00731D1B" w:rsidRDefault="00000000">
            <w:r>
              <w:rPr>
                <w:color w:val="333333"/>
                <w:sz w:val="20"/>
                <w:szCs w:val="20"/>
              </w:rPr>
              <w:t>Foster research culture; Encourage journal publications; Organize seminars &amp; conferences</w:t>
            </w:r>
          </w:p>
        </w:tc>
        <w:tc>
          <w:tcPr>
            <w:tcW w:w="31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6FCA8D8" w14:textId="77777777" w:rsidR="00731D1B" w:rsidRDefault="00000000">
            <w:r>
              <w:rPr>
                <w:color w:val="333333"/>
                <w:sz w:val="20"/>
                <w:szCs w:val="20"/>
              </w:rPr>
              <w:t>Increased publications; Active research cells</w:t>
            </w:r>
          </w:p>
        </w:tc>
      </w:tr>
      <w:tr w:rsidR="00731D1B" w14:paraId="7EEAC315"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810C3FE" w14:textId="77777777" w:rsidR="00731D1B" w:rsidRDefault="00000000">
            <w:r>
              <w:rPr>
                <w:color w:val="333333"/>
                <w:sz w:val="20"/>
                <w:szCs w:val="20"/>
              </w:rPr>
              <w:t>Infrastructure Development</w:t>
            </w:r>
          </w:p>
        </w:tc>
        <w:tc>
          <w:tcPr>
            <w:tcW w:w="33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63BAE4F" w14:textId="77777777" w:rsidR="00731D1B" w:rsidRDefault="00000000">
            <w:r>
              <w:rPr>
                <w:color w:val="333333"/>
                <w:sz w:val="20"/>
                <w:szCs w:val="20"/>
              </w:rPr>
              <w:t>Smart classrooms; Digital learning labs; Modernized libraries; Green campus initiatives</w:t>
            </w:r>
          </w:p>
        </w:tc>
        <w:tc>
          <w:tcPr>
            <w:tcW w:w="3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9AC7AB" w14:textId="77777777" w:rsidR="00731D1B" w:rsidRDefault="00000000">
            <w:r>
              <w:rPr>
                <w:color w:val="333333"/>
                <w:sz w:val="20"/>
                <w:szCs w:val="20"/>
              </w:rPr>
              <w:t>Enhanced learning environment; Sustainable campus</w:t>
            </w:r>
          </w:p>
        </w:tc>
      </w:tr>
      <w:tr w:rsidR="00731D1B" w14:paraId="258F7734"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F4B0647" w14:textId="77777777" w:rsidR="00731D1B" w:rsidRDefault="00000000">
            <w:r>
              <w:rPr>
                <w:color w:val="333333"/>
                <w:sz w:val="20"/>
                <w:szCs w:val="20"/>
              </w:rPr>
              <w:t>Student Development</w:t>
            </w:r>
          </w:p>
        </w:tc>
        <w:tc>
          <w:tcPr>
            <w:tcW w:w="33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C3C78D5" w14:textId="77777777" w:rsidR="00731D1B" w:rsidRDefault="00000000">
            <w:r>
              <w:rPr>
                <w:color w:val="333333"/>
                <w:sz w:val="20"/>
                <w:szCs w:val="20"/>
              </w:rPr>
              <w:t>Mentoring &amp; counseling; Skill &amp; career guidance; Co-curricular engagement</w:t>
            </w:r>
          </w:p>
        </w:tc>
        <w:tc>
          <w:tcPr>
            <w:tcW w:w="31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6F44F35" w14:textId="77777777" w:rsidR="00731D1B" w:rsidRDefault="00000000">
            <w:r>
              <w:rPr>
                <w:color w:val="333333"/>
                <w:sz w:val="20"/>
                <w:szCs w:val="20"/>
              </w:rPr>
              <w:t>Employability; Holistic growth; Alumni success</w:t>
            </w:r>
          </w:p>
        </w:tc>
      </w:tr>
      <w:tr w:rsidR="00731D1B" w14:paraId="33688258"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BDCBC4B" w14:textId="77777777" w:rsidR="00731D1B" w:rsidRDefault="00000000">
            <w:r>
              <w:t xml:space="preserve">Faculty Development </w:t>
            </w:r>
          </w:p>
        </w:tc>
        <w:tc>
          <w:tcPr>
            <w:tcW w:w="33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E3037C7" w14:textId="77777777" w:rsidR="00731D1B" w:rsidRDefault="00000000">
            <w:r>
              <w:t xml:space="preserve">Regular </w:t>
            </w:r>
            <w:proofErr w:type="spellStart"/>
            <w:r>
              <w:t>FDPs,Workshops,Seminars,Research</w:t>
            </w:r>
            <w:proofErr w:type="spellEnd"/>
            <w:r>
              <w:t xml:space="preserve"> </w:t>
            </w:r>
            <w:proofErr w:type="spellStart"/>
            <w:r>
              <w:t>Projects,Refresher</w:t>
            </w:r>
            <w:proofErr w:type="spellEnd"/>
            <w:r>
              <w:t xml:space="preserve"> Courses and Training programs</w:t>
            </w:r>
          </w:p>
        </w:tc>
        <w:tc>
          <w:tcPr>
            <w:tcW w:w="31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AD89F6B" w14:textId="77777777" w:rsidR="00731D1B" w:rsidRDefault="00000000">
            <w:r>
              <w:t>Fostering a culture of continuous learning and research, leading to improved student outcomes, increased publications, and overall institutional academic excellence</w:t>
            </w:r>
          </w:p>
        </w:tc>
      </w:tr>
    </w:tbl>
    <w:p w14:paraId="4B5D45D5" w14:textId="77777777" w:rsidR="00731D1B" w:rsidRDefault="00731D1B">
      <w:pPr>
        <w:spacing w:before="200"/>
      </w:pPr>
    </w:p>
    <w:p w14:paraId="544CCA61" w14:textId="77777777" w:rsidR="00731D1B" w:rsidRDefault="00731D1B">
      <w:pPr>
        <w:spacing w:before="120"/>
      </w:pPr>
    </w:p>
    <w:p w14:paraId="20FCC874" w14:textId="77777777" w:rsidR="00731D1B" w:rsidRDefault="00000000">
      <w:pPr>
        <w:pStyle w:val="Heading21"/>
      </w:pPr>
      <w:r>
        <w:t>IQAC Role</w:t>
      </w:r>
    </w:p>
    <w:p w14:paraId="1CA2BC1F" w14:textId="77777777" w:rsidR="00731D1B" w:rsidRDefault="00000000">
      <w:pPr>
        <w:spacing w:before="80" w:after="80"/>
      </w:pPr>
      <w:r>
        <w:rPr>
          <w:color w:val="333333"/>
          <w:sz w:val="22"/>
        </w:rPr>
        <w:t>The Internal Quality Assurance Cell (IQAC) monitors all quality initiatives, ensures implementation of audit recommendations, and helps re-orient institutional strategies towards achieving the goals set in the IDP.</w:t>
      </w:r>
    </w:p>
    <w:p w14:paraId="2A17AAA9" w14:textId="77777777" w:rsidR="00731D1B" w:rsidRDefault="00731D1B">
      <w:pPr>
        <w:spacing w:before="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78C21BA1"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3C6E"/>
            <w:tcMar>
              <w:top w:w="140" w:type="dxa"/>
              <w:left w:w="240" w:type="dxa"/>
              <w:bottom w:w="140" w:type="dxa"/>
              <w:right w:w="240" w:type="dxa"/>
            </w:tcMar>
          </w:tcPr>
          <w:p w14:paraId="68FACE1D" w14:textId="77777777" w:rsidR="00731D1B" w:rsidRDefault="00000000">
            <w:pPr>
              <w:jc w:val="left"/>
            </w:pPr>
            <w:r>
              <w:rPr>
                <w:b/>
                <w:bCs/>
                <w:color w:val="FFFFFF"/>
                <w:sz w:val="26"/>
                <w:szCs w:val="26"/>
              </w:rPr>
              <w:t>Monitoring and Review Mechanism</w:t>
            </w:r>
          </w:p>
        </w:tc>
      </w:tr>
    </w:tbl>
    <w:p w14:paraId="49AADB4F" w14:textId="77777777" w:rsidR="00731D1B" w:rsidRDefault="00731D1B">
      <w:pPr>
        <w:spacing w:before="120"/>
      </w:pPr>
    </w:p>
    <w:p w14:paraId="3AAC4E3A" w14:textId="77777777" w:rsidR="00731D1B" w:rsidRDefault="00000000">
      <w:pPr>
        <w:spacing w:before="80" w:after="80"/>
      </w:pPr>
      <w:r>
        <w:rPr>
          <w:color w:val="333333"/>
          <w:sz w:val="22"/>
        </w:rPr>
        <w:t>The progress of the Institutional Development Plan is monitored through a multi-layered review mechanism designed to ensure accountability and continuous improvement:</w:t>
      </w:r>
    </w:p>
    <w:p w14:paraId="7F41C974" w14:textId="77777777" w:rsidR="00731D1B" w:rsidRDefault="00731D1B">
      <w:pPr>
        <w:spacing w:before="100"/>
      </w:pPr>
    </w:p>
    <w:p w14:paraId="19DA64CC" w14:textId="77777777" w:rsidR="00731D1B" w:rsidRDefault="00000000">
      <w:pPr>
        <w:pStyle w:val="ListParagraph"/>
        <w:numPr>
          <w:ilvl w:val="0"/>
          <w:numId w:val="1"/>
        </w:numPr>
        <w:spacing w:before="60" w:after="60"/>
      </w:pPr>
      <w:r>
        <w:rPr>
          <w:color w:val="333333"/>
        </w:rPr>
        <w:t>Periodic meetings of the IQAC</w:t>
      </w:r>
    </w:p>
    <w:p w14:paraId="6A59B11C" w14:textId="77777777" w:rsidR="00731D1B" w:rsidRDefault="00000000">
      <w:pPr>
        <w:pStyle w:val="ListParagraph"/>
        <w:numPr>
          <w:ilvl w:val="0"/>
          <w:numId w:val="1"/>
        </w:numPr>
        <w:spacing w:before="60" w:after="60"/>
      </w:pPr>
      <w:r>
        <w:rPr>
          <w:color w:val="333333"/>
        </w:rPr>
        <w:t>Departmental review meetings</w:t>
      </w:r>
    </w:p>
    <w:p w14:paraId="0DEC788F" w14:textId="77777777" w:rsidR="00731D1B" w:rsidRDefault="00000000">
      <w:pPr>
        <w:pStyle w:val="ListParagraph"/>
        <w:numPr>
          <w:ilvl w:val="0"/>
          <w:numId w:val="1"/>
        </w:numPr>
        <w:spacing w:before="60" w:after="60"/>
      </w:pPr>
      <w:r>
        <w:rPr>
          <w:color w:val="333333"/>
        </w:rPr>
        <w:t>Feedback from students, alumni, and stakeholders</w:t>
      </w:r>
    </w:p>
    <w:p w14:paraId="43D9C351" w14:textId="77777777" w:rsidR="00731D1B" w:rsidRDefault="00000000">
      <w:pPr>
        <w:pStyle w:val="ListParagraph"/>
        <w:numPr>
          <w:ilvl w:val="0"/>
          <w:numId w:val="1"/>
        </w:numPr>
        <w:spacing w:before="60" w:after="60"/>
      </w:pPr>
      <w:r>
        <w:rPr>
          <w:color w:val="333333"/>
        </w:rPr>
        <w:t>Annual institutional reports and documentation</w:t>
      </w:r>
    </w:p>
    <w:p w14:paraId="1426CB34" w14:textId="77777777" w:rsidR="00731D1B" w:rsidRDefault="00731D1B">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31D1B" w14:paraId="667B5D7E" w14:textId="77777777">
        <w:tblPrEx>
          <w:tblCellMar>
            <w:top w:w="0" w:type="dxa"/>
            <w:bottom w:w="0" w:type="dxa"/>
          </w:tblCellMar>
        </w:tblPrEx>
        <w:tc>
          <w:tcPr>
            <w:tcW w:w="0" w:type="auto"/>
            <w:tcBorders>
              <w:top w:val="none" w:sz="0" w:space="0" w:color="FFFFFF"/>
              <w:left w:val="single" w:sz="12" w:space="0" w:color="F4A300"/>
              <w:bottom w:val="none" w:sz="0" w:space="0" w:color="FFFFFF"/>
              <w:right w:val="none" w:sz="0" w:space="0" w:color="FFFFFF"/>
            </w:tcBorders>
            <w:shd w:val="clear" w:color="auto" w:fill="D6E4F0"/>
            <w:tcMar>
              <w:top w:w="100" w:type="dxa"/>
              <w:left w:w="200" w:type="dxa"/>
              <w:bottom w:w="100" w:type="dxa"/>
              <w:right w:w="200" w:type="dxa"/>
            </w:tcMar>
          </w:tcPr>
          <w:p w14:paraId="2F4E3606" w14:textId="77777777" w:rsidR="00731D1B" w:rsidRDefault="00000000">
            <w:r>
              <w:rPr>
                <w:color w:val="1A3C6E"/>
                <w:szCs w:val="21"/>
              </w:rPr>
              <w:t>This continuous monitoring ensures effective implementation of the IDP and drives sustained improvement in institutional performance across all domains.</w:t>
            </w:r>
          </w:p>
        </w:tc>
      </w:tr>
    </w:tbl>
    <w:p w14:paraId="25BE9865" w14:textId="77777777" w:rsidR="00731D1B" w:rsidRDefault="00731D1B">
      <w:pPr>
        <w:spacing w:before="200"/>
      </w:pPr>
    </w:p>
    <w:p w14:paraId="5285ECBB" w14:textId="2ABA575C" w:rsidR="00731D1B" w:rsidRDefault="00000000" w:rsidP="00153696">
      <w:r>
        <w:br w:type="page"/>
      </w:r>
    </w:p>
    <w:sectPr w:rsidR="00731D1B">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5E6FB" w14:textId="77777777" w:rsidR="00AB0676" w:rsidRDefault="00AB0676">
      <w:r>
        <w:separator/>
      </w:r>
    </w:p>
  </w:endnote>
  <w:endnote w:type="continuationSeparator" w:id="0">
    <w:p w14:paraId="1927E2FA" w14:textId="77777777" w:rsidR="00AB0676" w:rsidRDefault="00AB0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notTrueType/>
    <w:pitch w:val="default"/>
  </w:font>
  <w:font w:name="Mangal">
    <w:panose1 w:val="02040503050203030202"/>
    <w:charset w:val="01"/>
    <w:family w:val="roman"/>
    <w:pitch w:val="variable"/>
    <w:sig w:usb0="00002000" w:usb1="00000000" w:usb2="00000000" w:usb3="00000000" w:csb0="00000000" w:csb1="00000000"/>
  </w:font>
  <w:font w:name="Calibri">
    <w:panose1 w:val="020F0502020204030204"/>
    <w:charset w:val="00"/>
    <w:family w:val="moder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757F1" w14:textId="77777777" w:rsidR="00731D1B" w:rsidRDefault="00000000">
    <w:pPr>
      <w:pBdr>
        <w:top w:val="single" w:sz="4" w:space="4" w:color="2E6EA6"/>
      </w:pBdr>
      <w:tabs>
        <w:tab w:val="right" w:pos="9026"/>
      </w:tabs>
    </w:pPr>
    <w:r>
      <w:rPr>
        <w:color w:val="888888"/>
        <w:sz w:val="18"/>
        <w:szCs w:val="18"/>
      </w:rPr>
      <w:t>IQAC — Quality &amp; Excellence</w:t>
    </w:r>
    <w:r>
      <w:rPr>
        <w:color w:val="888888"/>
        <w:sz w:val="18"/>
        <w:szCs w:val="18"/>
      </w:rP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C5197" w14:textId="77777777" w:rsidR="00AB0676" w:rsidRDefault="00AB0676">
      <w:r>
        <w:separator/>
      </w:r>
    </w:p>
  </w:footnote>
  <w:footnote w:type="continuationSeparator" w:id="0">
    <w:p w14:paraId="2ECB820E" w14:textId="77777777" w:rsidR="00AB0676" w:rsidRDefault="00AB06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9BB25" w14:textId="77777777" w:rsidR="00731D1B" w:rsidRDefault="00000000">
    <w:pPr>
      <w:pBdr>
        <w:bottom w:val="single" w:sz="4" w:space="4" w:color="2E6EA6"/>
      </w:pBdr>
    </w:pPr>
    <w:r>
      <w:rPr>
        <w:color w:val="888888"/>
        <w:sz w:val="18"/>
        <w:szCs w:val="18"/>
      </w:rPr>
      <w:t>Jagran College of Arts, Science and Commerce  |  Institutional Development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hybridMultilevel"/>
    <w:tmpl w:val="FFFFFFFF"/>
    <w:lvl w:ilvl="0" w:tplc="A8C4F33E" w:tentative="1">
      <w:start w:val="1"/>
      <w:numFmt w:val="bullet"/>
      <w:lvlText w:val="●"/>
      <w:lvlJc w:val="left"/>
      <w:pPr>
        <w:ind w:left="720" w:hanging="360"/>
      </w:pPr>
    </w:lvl>
    <w:lvl w:ilvl="1" w:tplc="5A70FC7A" w:tentative="1">
      <w:start w:val="1"/>
      <w:numFmt w:val="bullet"/>
      <w:lvlText w:val="○"/>
      <w:lvlJc w:val="left"/>
      <w:pPr>
        <w:ind w:left="1440" w:hanging="360"/>
      </w:pPr>
    </w:lvl>
    <w:lvl w:ilvl="2" w:tplc="912A98EC" w:tentative="1">
      <w:start w:val="1"/>
      <w:numFmt w:val="bullet"/>
      <w:lvlText w:val="■"/>
      <w:lvlJc w:val="left"/>
      <w:pPr>
        <w:ind w:left="2160" w:hanging="360"/>
      </w:pPr>
    </w:lvl>
    <w:lvl w:ilvl="3" w:tplc="0D001AE4" w:tentative="1">
      <w:start w:val="1"/>
      <w:numFmt w:val="bullet"/>
      <w:lvlText w:val="●"/>
      <w:lvlJc w:val="left"/>
      <w:pPr>
        <w:ind w:left="2880" w:hanging="360"/>
      </w:pPr>
    </w:lvl>
    <w:lvl w:ilvl="4" w:tplc="0A9C7E50" w:tentative="1">
      <w:start w:val="1"/>
      <w:numFmt w:val="bullet"/>
      <w:lvlText w:val="○"/>
      <w:lvlJc w:val="left"/>
      <w:pPr>
        <w:ind w:left="3600" w:hanging="360"/>
      </w:pPr>
    </w:lvl>
    <w:lvl w:ilvl="5" w:tplc="596E4944" w:tentative="1">
      <w:start w:val="1"/>
      <w:numFmt w:val="bullet"/>
      <w:lvlText w:val="■"/>
      <w:lvlJc w:val="left"/>
      <w:pPr>
        <w:ind w:left="4320" w:hanging="360"/>
      </w:pPr>
    </w:lvl>
    <w:lvl w:ilvl="6" w:tplc="14CA0132" w:tentative="1">
      <w:start w:val="1"/>
      <w:numFmt w:val="bullet"/>
      <w:lvlText w:val="●"/>
      <w:lvlJc w:val="left"/>
      <w:pPr>
        <w:ind w:left="5040" w:hanging="360"/>
      </w:pPr>
    </w:lvl>
    <w:lvl w:ilvl="7" w:tplc="32E26554" w:tentative="1">
      <w:start w:val="1"/>
      <w:numFmt w:val="bullet"/>
      <w:lvlText w:val="●"/>
      <w:lvlJc w:val="left"/>
      <w:pPr>
        <w:ind w:left="5760" w:hanging="360"/>
      </w:pPr>
    </w:lvl>
    <w:lvl w:ilvl="8" w:tplc="9C4A4094" w:tentative="1">
      <w:start w:val="1"/>
      <w:numFmt w:val="bullet"/>
      <w:lvlText w:val="●"/>
      <w:lvlJc w:val="left"/>
      <w:pPr>
        <w:ind w:left="6480" w:hanging="360"/>
      </w:pPr>
    </w:lvl>
  </w:abstractNum>
  <w:abstractNum w:abstractNumId="1" w15:restartNumberingAfterBreak="0">
    <w:nsid w:val="00000001"/>
    <w:multiLevelType w:val="hybridMultilevel"/>
    <w:tmpl w:val="FFFFFFFF"/>
    <w:lvl w:ilvl="0" w:tplc="58648256">
      <w:start w:val="1"/>
      <w:numFmt w:val="bullet"/>
      <w:lvlText w:val="•"/>
      <w:lvlJc w:val="left"/>
      <w:pPr>
        <w:ind w:left="720" w:hanging="360"/>
      </w:pPr>
    </w:lvl>
    <w:lvl w:ilvl="1" w:tplc="BDA29E94">
      <w:numFmt w:val="decimal"/>
      <w:lvlText w:val=""/>
      <w:lvlJc w:val="left"/>
    </w:lvl>
    <w:lvl w:ilvl="2" w:tplc="453A1C3C">
      <w:numFmt w:val="decimal"/>
      <w:lvlText w:val=""/>
      <w:lvlJc w:val="left"/>
    </w:lvl>
    <w:lvl w:ilvl="3" w:tplc="A9943CC8">
      <w:numFmt w:val="decimal"/>
      <w:lvlText w:val=""/>
      <w:lvlJc w:val="left"/>
    </w:lvl>
    <w:lvl w:ilvl="4" w:tplc="22882180">
      <w:numFmt w:val="decimal"/>
      <w:lvlText w:val=""/>
      <w:lvlJc w:val="left"/>
    </w:lvl>
    <w:lvl w:ilvl="5" w:tplc="90DCCB8A">
      <w:numFmt w:val="decimal"/>
      <w:lvlText w:val=""/>
      <w:lvlJc w:val="left"/>
    </w:lvl>
    <w:lvl w:ilvl="6" w:tplc="FF2A81E4">
      <w:numFmt w:val="decimal"/>
      <w:lvlText w:val=""/>
      <w:lvlJc w:val="left"/>
    </w:lvl>
    <w:lvl w:ilvl="7" w:tplc="A5402B82">
      <w:numFmt w:val="decimal"/>
      <w:lvlText w:val=""/>
      <w:lvlJc w:val="left"/>
    </w:lvl>
    <w:lvl w:ilvl="8" w:tplc="A630FE66">
      <w:numFmt w:val="decimal"/>
      <w:lvlText w:val=""/>
      <w:lvlJc w:val="left"/>
    </w:lvl>
  </w:abstractNum>
  <w:abstractNum w:abstractNumId="2" w15:restartNumberingAfterBreak="0">
    <w:nsid w:val="00000002"/>
    <w:multiLevelType w:val="hybridMultilevel"/>
    <w:tmpl w:val="FFFFFFFF"/>
    <w:lvl w:ilvl="0" w:tplc="8C5870E2">
      <w:start w:val="1"/>
      <w:numFmt w:val="decimal"/>
      <w:lvlText w:val="%1."/>
      <w:lvlJc w:val="left"/>
      <w:pPr>
        <w:ind w:left="720" w:hanging="360"/>
      </w:pPr>
    </w:lvl>
    <w:lvl w:ilvl="1" w:tplc="F52E8328">
      <w:numFmt w:val="decimal"/>
      <w:lvlText w:val=""/>
      <w:lvlJc w:val="left"/>
    </w:lvl>
    <w:lvl w:ilvl="2" w:tplc="FD5EBDAA">
      <w:numFmt w:val="decimal"/>
      <w:lvlText w:val=""/>
      <w:lvlJc w:val="left"/>
    </w:lvl>
    <w:lvl w:ilvl="3" w:tplc="ADDA04D6">
      <w:numFmt w:val="decimal"/>
      <w:lvlText w:val=""/>
      <w:lvlJc w:val="left"/>
    </w:lvl>
    <w:lvl w:ilvl="4" w:tplc="FBBE30E8">
      <w:numFmt w:val="decimal"/>
      <w:lvlText w:val=""/>
      <w:lvlJc w:val="left"/>
    </w:lvl>
    <w:lvl w:ilvl="5" w:tplc="9740156A">
      <w:numFmt w:val="decimal"/>
      <w:lvlText w:val=""/>
      <w:lvlJc w:val="left"/>
    </w:lvl>
    <w:lvl w:ilvl="6" w:tplc="07BAE0CC">
      <w:numFmt w:val="decimal"/>
      <w:lvlText w:val=""/>
      <w:lvlJc w:val="left"/>
    </w:lvl>
    <w:lvl w:ilvl="7" w:tplc="7090AB90">
      <w:numFmt w:val="decimal"/>
      <w:lvlText w:val=""/>
      <w:lvlJc w:val="left"/>
    </w:lvl>
    <w:lvl w:ilvl="8" w:tplc="27EE1C70">
      <w:numFmt w:val="decimal"/>
      <w:lvlText w:val=""/>
      <w:lvlJc w:val="left"/>
    </w:lvl>
  </w:abstractNum>
  <w:num w:numId="1" w16cid:durableId="1982953259">
    <w:abstractNumId w:val="1"/>
    <w:lvlOverride w:ilvl="0">
      <w:startOverride w:val="1"/>
    </w:lvlOverride>
  </w:num>
  <w:num w:numId="2" w16cid:durableId="379091121">
    <w:abstractNumId w:val="0"/>
    <w:lvlOverride w:ilvl="0">
      <w:startOverride w:val="1"/>
    </w:lvlOverride>
  </w:num>
  <w:num w:numId="3" w16cid:durableId="1168909392">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D1B"/>
    <w:rsid w:val="00153696"/>
    <w:rsid w:val="001C6DA4"/>
    <w:rsid w:val="00731D1B"/>
    <w:rsid w:val="00AB0676"/>
    <w:rsid w:val="00FF225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4:docId w14:val="2C238A19"/>
  <w15:docId w15:val="{67DF9C72-29C5-A746-8C48-DC1E42A74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rPr>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Heading11">
    <w:name w:val="Heading 11"/>
    <w:qFormat/>
    <w:pPr>
      <w:spacing w:before="360" w:after="160"/>
      <w:outlineLvl w:val="0"/>
    </w:pPr>
    <w:rPr>
      <w:b/>
      <w:bCs/>
      <w:color w:val="1A3C6E"/>
      <w:sz w:val="28"/>
      <w:szCs w:val="28"/>
    </w:rPr>
  </w:style>
  <w:style w:type="paragraph" w:customStyle="1" w:styleId="Heading21">
    <w:name w:val="Heading 21"/>
    <w:qFormat/>
    <w:pPr>
      <w:spacing w:before="240" w:after="120"/>
      <w:outlineLvl w:val="1"/>
    </w:pPr>
    <w:rPr>
      <w:b/>
      <w:bCs/>
      <w:color w:val="2E6EA6"/>
      <w:sz w:val="24"/>
      <w:szCs w:val="24"/>
    </w:rPr>
  </w:style>
  <w:style w:type="paragraph" w:customStyle="1" w:styleId="Heading31">
    <w:name w:val="Heading 31"/>
    <w:qFormat/>
    <w:rPr>
      <w:color w:val="1F4D78"/>
      <w:sz w:val="24"/>
      <w:szCs w:val="24"/>
    </w:rPr>
  </w:style>
  <w:style w:type="paragraph" w:customStyle="1" w:styleId="Heading41">
    <w:name w:val="Heading 41"/>
    <w:qFormat/>
    <w:rPr>
      <w:i/>
      <w:iCs/>
      <w:color w:val="2E74B5"/>
    </w:rPr>
  </w:style>
  <w:style w:type="paragraph" w:customStyle="1" w:styleId="Heading51">
    <w:name w:val="Heading 51"/>
    <w:qFormat/>
    <w:rPr>
      <w:color w:val="2E74B5"/>
    </w:rPr>
  </w:style>
  <w:style w:type="paragraph" w:customStyle="1" w:styleId="Heading61">
    <w:name w:val="Heading 61"/>
    <w:qFormat/>
    <w:rPr>
      <w:color w:val="1F4D78"/>
    </w:rPr>
  </w:style>
  <w:style w:type="paragraph" w:customStyle="1" w:styleId="Strongdfce4959-040e-41e6-b217-44552c8d0d90">
    <w:name w:val="Strong_dfce4959-040e-41e6-b217-44552c8d0d90"/>
    <w:qFormat/>
    <w:rPr>
      <w:b/>
      <w:bCs/>
    </w:rPr>
  </w:style>
  <w:style w:type="paragraph" w:styleId="ListParagraph">
    <w:name w:val="List Paragraph"/>
    <w:qFormat/>
  </w:style>
  <w:style w:type="character" w:styleId="Hyperlink">
    <w:name w:val="Hyperlink"/>
    <w:uiPriority w:val="99"/>
    <w:rPr>
      <w:color w:val="0563C1"/>
      <w:u w:val="single"/>
    </w:rPr>
  </w:style>
  <w:style w:type="character" w:styleId="FootnoteReference">
    <w:name w:val="footnote reference"/>
    <w:uiPriority w:val="99"/>
    <w:rPr>
      <w:vertAlign w:val="superscript"/>
    </w:rPr>
  </w:style>
  <w:style w:type="paragraph" w:styleId="FootnoteText">
    <w:name w:val="footnote text"/>
    <w:link w:val="FootnoteTextChar"/>
    <w:uiPriority w:val="99"/>
    <w:rPr>
      <w:sz w:val="20"/>
      <w:szCs w:val="20"/>
    </w:rPr>
  </w:style>
  <w:style w:type="character" w:customStyle="1" w:styleId="FootnoteTextChar">
    <w:name w:val="Footnote Text Char"/>
    <w:link w:val="FootnoteText"/>
    <w:uiPriority w:val="9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610</Words>
  <Characters>3482</Characters>
  <Application>Microsoft Office Word</Application>
  <DocSecurity>0</DocSecurity>
  <Lines>29</Lines>
  <Paragraphs>8</Paragraphs>
  <ScaleCrop>false</ScaleCrop>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ASMITA DUBEY</cp:lastModifiedBy>
  <cp:revision>3</cp:revision>
  <dcterms:created xsi:type="dcterms:W3CDTF">2026-03-11T10:02:00Z</dcterms:created>
  <dcterms:modified xsi:type="dcterms:W3CDTF">2026-03-11T10:03:00Z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fcaf0e5eabbe44499940e98c11ed3ff3</vt:lpwstr>
  </property>
</Properties>
</file>